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DA1A" w14:textId="77777777" w:rsidR="0005027D" w:rsidRDefault="0005027D" w:rsidP="0005027D">
      <w:pPr>
        <w:pStyle w:val="Titre1"/>
        <w:rPr>
          <w:lang w:val="fr-FR"/>
        </w:rPr>
      </w:pPr>
      <w:r w:rsidRPr="0005027D">
        <w:rPr>
          <w:lang w:val="fr-FR"/>
        </w:rPr>
        <w:t>Stratégies et dispositif d’intégration de la planification familiale dans la couverture sanitaire universelle : politiques et approches</w:t>
      </w:r>
    </w:p>
    <w:p w14:paraId="7DA5F28B" w14:textId="2898C1E8" w:rsidR="005161E6" w:rsidRDefault="001D1F0E" w:rsidP="001D1F0E">
      <w:pPr>
        <w:rPr>
          <w:lang w:val="fr-FR"/>
        </w:rPr>
      </w:pPr>
      <w:r w:rsidRPr="001D1F0E">
        <w:rPr>
          <w:b/>
          <w:bCs/>
          <w:lang w:val="fr-FR"/>
        </w:rPr>
        <w:t>Résumé</w:t>
      </w:r>
      <w:r>
        <w:rPr>
          <w:b/>
          <w:bCs/>
          <w:lang w:val="fr-FR"/>
        </w:rPr>
        <w:t xml:space="preserve"> : </w:t>
      </w:r>
      <w:r w:rsidR="00CB732B">
        <w:rPr>
          <w:lang w:val="fr-FR"/>
        </w:rPr>
        <w:t xml:space="preserve">au Togo, </w:t>
      </w:r>
      <w:r w:rsidR="005F1D18">
        <w:rPr>
          <w:lang w:val="fr-FR"/>
        </w:rPr>
        <w:t>le</w:t>
      </w:r>
      <w:r w:rsidR="00401A29" w:rsidRPr="00156DE5">
        <w:rPr>
          <w:lang w:val="fr-FR"/>
        </w:rPr>
        <w:t xml:space="preserve"> projet de loi instituant l’assurance maladie universelle a été adopté le </w:t>
      </w:r>
      <w:r w:rsidR="00CB732B">
        <w:rPr>
          <w:lang w:val="fr-FR"/>
        </w:rPr>
        <w:t>en</w:t>
      </w:r>
      <w:r w:rsidR="00401A29" w:rsidRPr="00156DE5">
        <w:rPr>
          <w:lang w:val="fr-FR"/>
        </w:rPr>
        <w:t xml:space="preserve"> octobre 2021 par à l’Assemblée Nationale.</w:t>
      </w:r>
      <w:r w:rsidR="001136FE">
        <w:rPr>
          <w:lang w:val="fr-FR"/>
        </w:rPr>
        <w:t xml:space="preserve"> </w:t>
      </w:r>
      <w:r w:rsidR="00A12110">
        <w:rPr>
          <w:lang w:val="fr-FR"/>
        </w:rPr>
        <w:t xml:space="preserve">La planification familiale </w:t>
      </w:r>
      <w:r w:rsidR="00457145">
        <w:rPr>
          <w:lang w:val="fr-FR"/>
        </w:rPr>
        <w:t xml:space="preserve">est toujours payante </w:t>
      </w:r>
      <w:r w:rsidR="00387EE2">
        <w:rPr>
          <w:lang w:val="fr-FR"/>
        </w:rPr>
        <w:t>au point de</w:t>
      </w:r>
      <w:r w:rsidR="00457145">
        <w:rPr>
          <w:lang w:val="fr-FR"/>
        </w:rPr>
        <w:t xml:space="preserve"> service de santé du p</w:t>
      </w:r>
      <w:r w:rsidR="00E67F47">
        <w:rPr>
          <w:lang w:val="fr-FR"/>
        </w:rPr>
        <w:t xml:space="preserve">ays. Les seules poches de gratuité sont les </w:t>
      </w:r>
      <w:r w:rsidR="00387EE2">
        <w:rPr>
          <w:lang w:val="fr-FR"/>
        </w:rPr>
        <w:t>délivrances</w:t>
      </w:r>
      <w:r w:rsidR="00573C6A">
        <w:rPr>
          <w:lang w:val="fr-FR"/>
        </w:rPr>
        <w:t xml:space="preserve"> de la PF au niveau des </w:t>
      </w:r>
      <w:r w:rsidR="00387EE2">
        <w:rPr>
          <w:lang w:val="fr-FR"/>
        </w:rPr>
        <w:t>stratégies</w:t>
      </w:r>
      <w:r w:rsidR="00573C6A">
        <w:rPr>
          <w:lang w:val="fr-FR"/>
        </w:rPr>
        <w:t xml:space="preserve"> comme la DBC, </w:t>
      </w:r>
      <w:r w:rsidR="00387EE2">
        <w:rPr>
          <w:lang w:val="fr-FR"/>
        </w:rPr>
        <w:t>et les journées spéciales</w:t>
      </w:r>
      <w:r w:rsidR="001318F9">
        <w:rPr>
          <w:lang w:val="fr-FR"/>
        </w:rPr>
        <w:t>.</w:t>
      </w:r>
      <w:r w:rsidR="008A3886">
        <w:rPr>
          <w:lang w:val="fr-FR"/>
        </w:rPr>
        <w:t xml:space="preserve"> </w:t>
      </w:r>
    </w:p>
    <w:p w14:paraId="1AB33343" w14:textId="77777777" w:rsidR="00491883" w:rsidRDefault="00491883" w:rsidP="001D1F0E">
      <w:pPr>
        <w:rPr>
          <w:lang w:val="fr-FR"/>
        </w:rPr>
      </w:pPr>
      <w:r>
        <w:rPr>
          <w:lang w:val="fr-FR"/>
        </w:rPr>
        <w:t>Face aux réticences, l</w:t>
      </w:r>
      <w:r w:rsidR="008A3886">
        <w:rPr>
          <w:lang w:val="fr-FR"/>
        </w:rPr>
        <w:t xml:space="preserve">e Togo </w:t>
      </w:r>
      <w:r w:rsidR="00FB4E49">
        <w:rPr>
          <w:lang w:val="fr-FR"/>
        </w:rPr>
        <w:t>a besoin de données probantes pour</w:t>
      </w:r>
      <w:r>
        <w:rPr>
          <w:lang w:val="fr-FR"/>
        </w:rPr>
        <w:t> :</w:t>
      </w:r>
    </w:p>
    <w:p w14:paraId="13822ABB" w14:textId="2AA0BB8B" w:rsidR="001D1F0E" w:rsidRPr="00940CD7" w:rsidRDefault="003535BE" w:rsidP="00491883">
      <w:pPr>
        <w:pStyle w:val="Paragraphedeliste"/>
        <w:numPr>
          <w:ilvl w:val="0"/>
          <w:numId w:val="10"/>
        </w:numPr>
        <w:rPr>
          <w:b/>
          <w:bCs/>
          <w:lang w:val="fr-FR"/>
        </w:rPr>
      </w:pPr>
      <w:r w:rsidRPr="00491883">
        <w:rPr>
          <w:lang w:val="fr-FR"/>
        </w:rPr>
        <w:t>Montrer</w:t>
      </w:r>
      <w:r w:rsidR="00FB4E49" w:rsidRPr="00491883">
        <w:rPr>
          <w:lang w:val="fr-FR"/>
        </w:rPr>
        <w:t xml:space="preserve"> la </w:t>
      </w:r>
      <w:r w:rsidR="005161E6" w:rsidRPr="00491883">
        <w:rPr>
          <w:lang w:val="fr-FR"/>
        </w:rPr>
        <w:t>nécessité</w:t>
      </w:r>
      <w:r w:rsidR="00FB4E49" w:rsidRPr="00491883">
        <w:rPr>
          <w:lang w:val="fr-FR"/>
        </w:rPr>
        <w:t xml:space="preserve"> d’</w:t>
      </w:r>
      <w:r w:rsidR="005161E6" w:rsidRPr="00491883">
        <w:rPr>
          <w:lang w:val="fr-FR"/>
        </w:rPr>
        <w:t>intégrer</w:t>
      </w:r>
      <w:r w:rsidR="00FB4E49" w:rsidRPr="00491883">
        <w:rPr>
          <w:lang w:val="fr-FR"/>
        </w:rPr>
        <w:t xml:space="preserve"> la PF dans la couverture </w:t>
      </w:r>
      <w:r w:rsidR="005161E6" w:rsidRPr="00491883">
        <w:rPr>
          <w:lang w:val="fr-FR"/>
        </w:rPr>
        <w:t>sanitaire universelle</w:t>
      </w:r>
      <w:r w:rsidR="00940CD7">
        <w:rPr>
          <w:lang w:val="fr-FR"/>
        </w:rPr>
        <w:t>,</w:t>
      </w:r>
    </w:p>
    <w:p w14:paraId="3ABC9B1A" w14:textId="55FA3490" w:rsidR="00940CD7" w:rsidRDefault="003535BE" w:rsidP="00491883">
      <w:pPr>
        <w:pStyle w:val="Paragraphedeliste"/>
        <w:numPr>
          <w:ilvl w:val="0"/>
          <w:numId w:val="10"/>
        </w:numPr>
        <w:rPr>
          <w:lang w:val="fr-FR"/>
        </w:rPr>
      </w:pPr>
      <w:r w:rsidRPr="003535BE">
        <w:rPr>
          <w:lang w:val="fr-FR"/>
        </w:rPr>
        <w:t xml:space="preserve">Engager le secteur privé </w:t>
      </w:r>
      <w:r w:rsidR="00AB1B62">
        <w:rPr>
          <w:lang w:val="fr-FR"/>
        </w:rPr>
        <w:t>dans l’offre de la PF</w:t>
      </w:r>
    </w:p>
    <w:p w14:paraId="1797612A" w14:textId="33AA9A87" w:rsidR="00AB1B62" w:rsidRDefault="00AB1B62" w:rsidP="00704CF6">
      <w:pPr>
        <w:pStyle w:val="Titre1"/>
        <w:rPr>
          <w:lang w:val="fr-FR"/>
        </w:rPr>
      </w:pPr>
      <w:r w:rsidRPr="00AB1B62">
        <w:rPr>
          <w:lang w:val="fr-FR"/>
        </w:rPr>
        <w:t xml:space="preserve">Présentations des pays </w:t>
      </w:r>
    </w:p>
    <w:p w14:paraId="4C926412" w14:textId="32BE81EF" w:rsidR="00C21CEF" w:rsidRPr="00C21CEF" w:rsidRDefault="00C21CEF" w:rsidP="00AB1B62">
      <w:pPr>
        <w:rPr>
          <w:lang w:val="fr-FR"/>
        </w:rPr>
      </w:pPr>
      <w:r w:rsidRPr="00C21CEF">
        <w:rPr>
          <w:lang w:val="fr-FR"/>
        </w:rPr>
        <w:t>Cette thématique couvre le Togo et la Mauritanie</w:t>
      </w:r>
      <w:r>
        <w:rPr>
          <w:lang w:val="fr-FR"/>
        </w:rPr>
        <w:t>.</w:t>
      </w:r>
    </w:p>
    <w:p w14:paraId="0A59B271" w14:textId="42EF620D" w:rsidR="00691B59" w:rsidRPr="00691B59" w:rsidRDefault="00691B59" w:rsidP="00691B59">
      <w:pPr>
        <w:pStyle w:val="Titre"/>
        <w:rPr>
          <w:lang w:val="fr-FR"/>
        </w:rPr>
      </w:pPr>
      <w:r>
        <w:rPr>
          <w:lang w:val="fr-FR"/>
        </w:rPr>
        <w:t xml:space="preserve">Togo </w:t>
      </w:r>
    </w:p>
    <w:p w14:paraId="40CDEB7E" w14:textId="77777777" w:rsidR="00691B59" w:rsidRPr="00691B59" w:rsidRDefault="00691B59" w:rsidP="00156DE5">
      <w:pPr>
        <w:pStyle w:val="Paragraphedeliste"/>
        <w:numPr>
          <w:ilvl w:val="0"/>
          <w:numId w:val="5"/>
        </w:numPr>
      </w:pPr>
      <w:r w:rsidRPr="00156DE5">
        <w:rPr>
          <w:lang w:val="fr-FR"/>
        </w:rPr>
        <w:t xml:space="preserve">La Couverture Sanitaire Universelle (CSU) est définie par l’Organisation Mondiale de la Santé comme étant la situation dans laquelle tout le monde reçoit des services de santé de qualité qui répondent à leurs besoins sans encourir de difficultés financières </w:t>
      </w:r>
      <w:proofErr w:type="gramStart"/>
      <w:r w:rsidRPr="00156DE5">
        <w:rPr>
          <w:lang w:val="fr-FR"/>
        </w:rPr>
        <w:t>pour</w:t>
      </w:r>
      <w:proofErr w:type="gramEnd"/>
      <w:r w:rsidRPr="00156DE5">
        <w:rPr>
          <w:lang w:val="fr-FR"/>
        </w:rPr>
        <w:t xml:space="preserve"> les acquérir. </w:t>
      </w:r>
    </w:p>
    <w:p w14:paraId="17D70637" w14:textId="64B925D4" w:rsidR="000771FA" w:rsidRPr="000771FA" w:rsidRDefault="000771FA" w:rsidP="00156DE5">
      <w:pPr>
        <w:pStyle w:val="Paragraphedeliste"/>
        <w:numPr>
          <w:ilvl w:val="0"/>
          <w:numId w:val="5"/>
        </w:numPr>
      </w:pPr>
      <w:r w:rsidRPr="00156DE5">
        <w:rPr>
          <w:lang w:val="fr-FR"/>
        </w:rPr>
        <w:t xml:space="preserve">Le projet de loi instituant l’assurance maladie universelle au Togo, a été </w:t>
      </w:r>
      <w:r w:rsidR="00985CB8" w:rsidRPr="00156DE5">
        <w:rPr>
          <w:lang w:val="fr-FR"/>
        </w:rPr>
        <w:t>adopté le</w:t>
      </w:r>
      <w:r w:rsidRPr="00156DE5">
        <w:rPr>
          <w:lang w:val="fr-FR"/>
        </w:rPr>
        <w:t xml:space="preserve"> mardi 12 octobre 2021 par à l’Assemblée Nationale.</w:t>
      </w:r>
    </w:p>
    <w:p w14:paraId="3AEF8CD9" w14:textId="3EC7E6A1" w:rsidR="00516E07" w:rsidRPr="00156DE5" w:rsidRDefault="00985CB8" w:rsidP="00156DE5">
      <w:pPr>
        <w:pStyle w:val="Paragraphedeliste"/>
        <w:numPr>
          <w:ilvl w:val="0"/>
          <w:numId w:val="5"/>
        </w:numPr>
        <w:rPr>
          <w:lang w:val="fr-FR"/>
        </w:rPr>
      </w:pPr>
      <w:r w:rsidRPr="00156DE5">
        <w:rPr>
          <w:lang w:val="fr-FR"/>
        </w:rPr>
        <w:t>Etant donné les contraintes liées à la limitation des ressources, on peut progresser vers la CSU en cherchant à étendre les services prioritaires. Toutefois, aucun pays ne peut couvrir tous les services qui s'avèrent bénéfiques. Pour chaque étape vers la CSU, les pays doivent donc sélectionner certains services à étendre</w:t>
      </w:r>
    </w:p>
    <w:p w14:paraId="4568ED7D" w14:textId="7B1C26F9" w:rsidR="00156DE5" w:rsidRPr="00156DE5" w:rsidRDefault="00156DE5">
      <w:pPr>
        <w:rPr>
          <w:b/>
          <w:bCs/>
          <w:lang w:val="fr-FR"/>
        </w:rPr>
      </w:pPr>
      <w:r w:rsidRPr="00156DE5">
        <w:rPr>
          <w:b/>
          <w:bCs/>
          <w:lang w:val="fr-FR"/>
        </w:rPr>
        <w:t xml:space="preserve">Situation médicale </w:t>
      </w:r>
    </w:p>
    <w:p w14:paraId="017C0D6F" w14:textId="03A2D221" w:rsidR="00156DE5" w:rsidRPr="00AD317F" w:rsidRDefault="00156DE5" w:rsidP="00AF7CCF">
      <w:pPr>
        <w:numPr>
          <w:ilvl w:val="0"/>
          <w:numId w:val="4"/>
        </w:numPr>
        <w:spacing w:after="0"/>
        <w:rPr>
          <w:lang w:val="fr-FR"/>
        </w:rPr>
      </w:pPr>
      <w:r w:rsidRPr="00AD317F">
        <w:rPr>
          <w:lang w:val="fr-FR"/>
        </w:rPr>
        <w:t>Part des ménages dans les dépenses de santé : 57,6% en 2015 et 50,5 % en 2016</w:t>
      </w:r>
    </w:p>
    <w:p w14:paraId="0F1C15C6" w14:textId="28150786" w:rsidR="00156DE5" w:rsidRPr="00156DE5" w:rsidRDefault="00156DE5" w:rsidP="00AF7CCF">
      <w:pPr>
        <w:numPr>
          <w:ilvl w:val="0"/>
          <w:numId w:val="4"/>
        </w:numPr>
        <w:spacing w:after="0"/>
      </w:pPr>
      <w:r w:rsidRPr="00156DE5">
        <w:rPr>
          <w:lang w:val="fr-FR"/>
        </w:rPr>
        <w:t xml:space="preserve">Causes des niveaux encore élevés de morbidité et de mortalité sont des </w:t>
      </w:r>
      <w:r w:rsidR="00AD317F" w:rsidRPr="00156DE5">
        <w:rPr>
          <w:lang w:val="fr-FR"/>
        </w:rPr>
        <w:t>infections ;</w:t>
      </w:r>
    </w:p>
    <w:p w14:paraId="437BF41E" w14:textId="77777777" w:rsidR="00156DE5" w:rsidRPr="00156DE5" w:rsidRDefault="00156DE5" w:rsidP="00AF7CCF">
      <w:pPr>
        <w:numPr>
          <w:ilvl w:val="0"/>
          <w:numId w:val="4"/>
        </w:numPr>
        <w:spacing w:after="0"/>
      </w:pPr>
      <w:r w:rsidRPr="00156DE5">
        <w:rPr>
          <w:lang w:val="fr-FR"/>
        </w:rPr>
        <w:t>Mortalité infanto-juvénile élevée au Togo :</w:t>
      </w:r>
    </w:p>
    <w:p w14:paraId="0551082B" w14:textId="1EA6ADF6" w:rsidR="00156DE5" w:rsidRPr="00156DE5" w:rsidRDefault="00156DE5" w:rsidP="00AF7CCF">
      <w:pPr>
        <w:numPr>
          <w:ilvl w:val="1"/>
          <w:numId w:val="4"/>
        </w:numPr>
        <w:spacing w:after="0"/>
      </w:pPr>
      <w:r w:rsidRPr="00156DE5">
        <w:rPr>
          <w:lang w:val="fr-FR"/>
        </w:rPr>
        <w:t>Chiffre</w:t>
      </w:r>
      <w:r w:rsidR="00AE7862">
        <w:rPr>
          <w:lang w:val="fr-FR"/>
        </w:rPr>
        <w:t xml:space="preserve"> </w:t>
      </w:r>
      <w:r w:rsidRPr="00156DE5">
        <w:rPr>
          <w:lang w:val="fr-FR"/>
        </w:rPr>
        <w:t>: 89‰ naissances vivantes (EDST III, 2013-2014)</w:t>
      </w:r>
    </w:p>
    <w:p w14:paraId="10B30C93" w14:textId="78B04DD4" w:rsidR="00156DE5" w:rsidRPr="00156DE5" w:rsidRDefault="00156DE5" w:rsidP="00AF7CCF">
      <w:pPr>
        <w:numPr>
          <w:ilvl w:val="1"/>
          <w:numId w:val="4"/>
        </w:numPr>
        <w:spacing w:after="0"/>
      </w:pPr>
      <w:r w:rsidRPr="00156DE5">
        <w:rPr>
          <w:lang w:val="fr-FR"/>
        </w:rPr>
        <w:t>Cause</w:t>
      </w:r>
      <w:r w:rsidR="00AE7862">
        <w:rPr>
          <w:lang w:val="fr-FR"/>
        </w:rPr>
        <w:t xml:space="preserve"> </w:t>
      </w:r>
      <w:r w:rsidRPr="00156DE5">
        <w:rPr>
          <w:lang w:val="fr-FR"/>
        </w:rPr>
        <w:t xml:space="preserve">: Maladies infectieuses, le paludisme, la pneumonie et la </w:t>
      </w:r>
      <w:proofErr w:type="gramStart"/>
      <w:r w:rsidRPr="00156DE5">
        <w:rPr>
          <w:lang w:val="fr-FR"/>
        </w:rPr>
        <w:t>diarrhée;</w:t>
      </w:r>
      <w:proofErr w:type="gramEnd"/>
      <w:r w:rsidRPr="00156DE5">
        <w:rPr>
          <w:lang w:val="fr-FR"/>
        </w:rPr>
        <w:t xml:space="preserve"> </w:t>
      </w:r>
    </w:p>
    <w:p w14:paraId="3FF62AA9" w14:textId="77777777" w:rsidR="00156DE5" w:rsidRPr="00156DE5" w:rsidRDefault="00156DE5" w:rsidP="00AF7CCF">
      <w:pPr>
        <w:numPr>
          <w:ilvl w:val="0"/>
          <w:numId w:val="4"/>
        </w:numPr>
        <w:spacing w:after="0"/>
      </w:pPr>
      <w:r w:rsidRPr="00156DE5">
        <w:rPr>
          <w:lang w:val="fr-FR"/>
        </w:rPr>
        <w:t>Un accroissement des maladies non transmissibles.</w:t>
      </w:r>
    </w:p>
    <w:p w14:paraId="61CF6544" w14:textId="77777777" w:rsidR="00156DE5" w:rsidRPr="00587046" w:rsidRDefault="00156DE5" w:rsidP="00AF7CCF">
      <w:pPr>
        <w:pStyle w:val="Paragraphedeliste"/>
        <w:numPr>
          <w:ilvl w:val="0"/>
          <w:numId w:val="4"/>
        </w:numPr>
        <w:spacing w:after="0"/>
      </w:pPr>
      <w:r w:rsidRPr="00156DE5">
        <w:rPr>
          <w:lang w:val="fr-FR"/>
        </w:rPr>
        <w:t>Selon les données de l’INAM (2016-2019), les principales pathologies sont avec en tête le paludisme, l’hypertension artérielle essentielle, les infections des voies respiratoires et les affections liées à l’état de grossesse.</w:t>
      </w:r>
    </w:p>
    <w:p w14:paraId="1E7838B3" w14:textId="3E6F0B51" w:rsidR="00587046" w:rsidRPr="00C14723" w:rsidRDefault="00C14723" w:rsidP="00587046">
      <w:pPr>
        <w:rPr>
          <w:b/>
          <w:bCs/>
        </w:rPr>
      </w:pPr>
      <w:r w:rsidRPr="00C14723">
        <w:rPr>
          <w:b/>
          <w:bCs/>
        </w:rPr>
        <w:t>Régimes d’assurance maladie existant au Togo</w:t>
      </w:r>
    </w:p>
    <w:p w14:paraId="69154D4C" w14:textId="60CDCBC0" w:rsidR="00587046" w:rsidRPr="00587046" w:rsidRDefault="00587046" w:rsidP="00AF7CCF">
      <w:pPr>
        <w:numPr>
          <w:ilvl w:val="0"/>
          <w:numId w:val="4"/>
        </w:numPr>
        <w:spacing w:after="0"/>
        <w:rPr>
          <w:lang w:val="fr-FR"/>
        </w:rPr>
      </w:pPr>
      <w:r w:rsidRPr="00587046">
        <w:rPr>
          <w:lang w:val="fr-FR"/>
        </w:rPr>
        <w:t>INAM</w:t>
      </w:r>
      <w:r w:rsidR="00C14723">
        <w:rPr>
          <w:lang w:val="fr-FR"/>
        </w:rPr>
        <w:t xml:space="preserve"> </w:t>
      </w:r>
      <w:r w:rsidRPr="00587046">
        <w:rPr>
          <w:lang w:val="fr-FR"/>
        </w:rPr>
        <w:t xml:space="preserve">: Institut National d’Assurance </w:t>
      </w:r>
      <w:r w:rsidR="00C14723" w:rsidRPr="00587046">
        <w:rPr>
          <w:lang w:val="fr-FR"/>
        </w:rPr>
        <w:t>Maladie :</w:t>
      </w:r>
      <w:r w:rsidRPr="00587046">
        <w:rPr>
          <w:lang w:val="fr-FR"/>
        </w:rPr>
        <w:t xml:space="preserve"> pour les fonctionnaires et leurs ayant droits</w:t>
      </w:r>
    </w:p>
    <w:p w14:paraId="7143583D" w14:textId="76E7B267" w:rsidR="00587046" w:rsidRPr="00587046" w:rsidRDefault="00587046" w:rsidP="00AF7CCF">
      <w:pPr>
        <w:numPr>
          <w:ilvl w:val="0"/>
          <w:numId w:val="4"/>
        </w:numPr>
        <w:spacing w:after="0"/>
        <w:rPr>
          <w:lang w:val="fr-FR"/>
        </w:rPr>
      </w:pPr>
      <w:r w:rsidRPr="00587046">
        <w:rPr>
          <w:lang w:val="fr-FR"/>
        </w:rPr>
        <w:t xml:space="preserve">Les assurances </w:t>
      </w:r>
      <w:r w:rsidR="00C14723" w:rsidRPr="00587046">
        <w:rPr>
          <w:lang w:val="fr-FR"/>
        </w:rPr>
        <w:t>privées :</w:t>
      </w:r>
      <w:r w:rsidRPr="00587046">
        <w:rPr>
          <w:lang w:val="fr-FR"/>
        </w:rPr>
        <w:t xml:space="preserve"> pour quelques privilégiés et les agents des sociétés privées et organismes internationaux</w:t>
      </w:r>
    </w:p>
    <w:p w14:paraId="3F9D1120" w14:textId="5819EE16" w:rsidR="00587046" w:rsidRPr="00587046" w:rsidRDefault="00587046" w:rsidP="00AF7CCF">
      <w:pPr>
        <w:numPr>
          <w:ilvl w:val="0"/>
          <w:numId w:val="4"/>
        </w:numPr>
        <w:spacing w:after="0"/>
        <w:rPr>
          <w:lang w:val="fr-FR"/>
        </w:rPr>
      </w:pPr>
      <w:r w:rsidRPr="00587046">
        <w:rPr>
          <w:lang w:val="fr-FR"/>
        </w:rPr>
        <w:t xml:space="preserve">Les mutuelles de </w:t>
      </w:r>
      <w:r w:rsidR="00C14723" w:rsidRPr="00587046">
        <w:rPr>
          <w:lang w:val="fr-FR"/>
        </w:rPr>
        <w:t>santé :</w:t>
      </w:r>
      <w:r w:rsidRPr="00587046">
        <w:rPr>
          <w:lang w:val="fr-FR"/>
        </w:rPr>
        <w:t xml:space="preserve"> pour les associations corporatives</w:t>
      </w:r>
    </w:p>
    <w:p w14:paraId="140AA606" w14:textId="63801D85" w:rsidR="00587046" w:rsidRPr="00AE7862" w:rsidRDefault="00587046" w:rsidP="00587046">
      <w:pPr>
        <w:numPr>
          <w:ilvl w:val="0"/>
          <w:numId w:val="4"/>
        </w:numPr>
        <w:spacing w:after="0"/>
        <w:rPr>
          <w:lang w:val="fr-FR"/>
        </w:rPr>
      </w:pPr>
      <w:r w:rsidRPr="00587046">
        <w:rPr>
          <w:lang w:val="fr-FR"/>
        </w:rPr>
        <w:t xml:space="preserve">Aucun panier ne couvre les produits PF </w:t>
      </w:r>
    </w:p>
    <w:p w14:paraId="47B4AAED" w14:textId="536DDCBF" w:rsidR="00156DE5" w:rsidRPr="00AE7862" w:rsidRDefault="00AE7862">
      <w:pPr>
        <w:rPr>
          <w:b/>
          <w:bCs/>
        </w:rPr>
      </w:pPr>
      <w:r w:rsidRPr="00AE7862">
        <w:rPr>
          <w:b/>
          <w:bCs/>
        </w:rPr>
        <w:lastRenderedPageBreak/>
        <w:t xml:space="preserve">Population cible et cadre de l’étude </w:t>
      </w:r>
    </w:p>
    <w:p w14:paraId="2962AFB2" w14:textId="77777777" w:rsidR="00AE7862" w:rsidRPr="00AE7862" w:rsidRDefault="00AE7862" w:rsidP="00AE7862">
      <w:pPr>
        <w:numPr>
          <w:ilvl w:val="0"/>
          <w:numId w:val="4"/>
        </w:numPr>
        <w:spacing w:after="0"/>
        <w:rPr>
          <w:lang w:val="fr-FR"/>
        </w:rPr>
      </w:pPr>
      <w:r w:rsidRPr="00AE7862">
        <w:rPr>
          <w:lang w:val="fr-FR"/>
        </w:rPr>
        <w:t>Echelle du pays</w:t>
      </w:r>
    </w:p>
    <w:p w14:paraId="49FB1802" w14:textId="77777777" w:rsidR="00AE7862" w:rsidRPr="00AE7862" w:rsidRDefault="00AE7862" w:rsidP="00AE7862">
      <w:pPr>
        <w:numPr>
          <w:ilvl w:val="0"/>
          <w:numId w:val="4"/>
        </w:numPr>
        <w:spacing w:after="0"/>
        <w:rPr>
          <w:lang w:val="fr-FR"/>
        </w:rPr>
      </w:pPr>
      <w:r w:rsidRPr="00AE7862">
        <w:rPr>
          <w:lang w:val="fr-FR"/>
        </w:rPr>
        <w:t>Formations sanitaires</w:t>
      </w:r>
    </w:p>
    <w:p w14:paraId="40D4D520" w14:textId="77777777" w:rsidR="00AE7862" w:rsidRPr="00AE7862" w:rsidRDefault="00AE7862" w:rsidP="00AE7862">
      <w:pPr>
        <w:numPr>
          <w:ilvl w:val="0"/>
          <w:numId w:val="4"/>
        </w:numPr>
        <w:spacing w:after="0"/>
      </w:pPr>
      <w:r w:rsidRPr="00AE7862">
        <w:rPr>
          <w:lang w:val="fr-FR"/>
        </w:rPr>
        <w:t>Communautés</w:t>
      </w:r>
    </w:p>
    <w:p w14:paraId="400102A5" w14:textId="77777777" w:rsidR="00AE7862" w:rsidRPr="00AE7862" w:rsidRDefault="00AE7862" w:rsidP="00AE7862">
      <w:pPr>
        <w:numPr>
          <w:ilvl w:val="0"/>
          <w:numId w:val="4"/>
        </w:numPr>
        <w:spacing w:after="0"/>
        <w:rPr>
          <w:lang w:val="fr-FR"/>
        </w:rPr>
      </w:pPr>
      <w:r w:rsidRPr="00AE7862">
        <w:rPr>
          <w:lang w:val="fr-FR"/>
        </w:rPr>
        <w:t>8 159 620 dont Femmes en âge de procréer : 2 134 722</w:t>
      </w:r>
    </w:p>
    <w:p w14:paraId="01CF3B81" w14:textId="2F1CA345" w:rsidR="00AE7862" w:rsidRPr="00AE7862" w:rsidRDefault="00AE7862" w:rsidP="00AE7862">
      <w:pPr>
        <w:numPr>
          <w:ilvl w:val="0"/>
          <w:numId w:val="4"/>
        </w:numPr>
        <w:spacing w:after="0"/>
        <w:rPr>
          <w:lang w:val="fr-FR"/>
        </w:rPr>
      </w:pPr>
      <w:r w:rsidRPr="00AE7862">
        <w:rPr>
          <w:lang w:val="fr-FR"/>
        </w:rPr>
        <w:t>ISF</w:t>
      </w:r>
      <w:r>
        <w:rPr>
          <w:lang w:val="fr-FR"/>
        </w:rPr>
        <w:t xml:space="preserve"> </w:t>
      </w:r>
      <w:r w:rsidRPr="00AE7862">
        <w:rPr>
          <w:lang w:val="fr-FR"/>
        </w:rPr>
        <w:t>: 4,6</w:t>
      </w:r>
    </w:p>
    <w:p w14:paraId="062A62E3" w14:textId="77777777" w:rsidR="00AE7862" w:rsidRDefault="00AE7862" w:rsidP="00AE7862">
      <w:pPr>
        <w:numPr>
          <w:ilvl w:val="0"/>
          <w:numId w:val="4"/>
        </w:numPr>
        <w:spacing w:after="0"/>
        <w:rPr>
          <w:lang w:val="fr-FR"/>
        </w:rPr>
      </w:pPr>
      <w:r w:rsidRPr="00AE7862">
        <w:rPr>
          <w:lang w:val="fr-FR"/>
        </w:rPr>
        <w:t>TPC 26,3%</w:t>
      </w:r>
    </w:p>
    <w:p w14:paraId="6389530F" w14:textId="26CF9729" w:rsidR="00106B68" w:rsidRPr="00AE7862" w:rsidRDefault="00106B68" w:rsidP="00106B68">
      <w:pPr>
        <w:pStyle w:val="Titre"/>
        <w:rPr>
          <w:lang w:val="fr-FR"/>
        </w:rPr>
      </w:pPr>
      <w:r>
        <w:rPr>
          <w:lang w:val="fr-FR"/>
        </w:rPr>
        <w:t xml:space="preserve">Mauritanie </w:t>
      </w:r>
    </w:p>
    <w:p w14:paraId="622BEF58" w14:textId="77777777" w:rsidR="00AE7862" w:rsidRDefault="00AE7862"/>
    <w:sectPr w:rsidR="00AE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9D2"/>
    <w:multiLevelType w:val="hybridMultilevel"/>
    <w:tmpl w:val="87EA9BAC"/>
    <w:lvl w:ilvl="0" w:tplc="A044C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3DD"/>
    <w:multiLevelType w:val="hybridMultilevel"/>
    <w:tmpl w:val="AC2C9800"/>
    <w:lvl w:ilvl="0" w:tplc="CB680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47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A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2C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47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6A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4A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24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83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5D1740"/>
    <w:multiLevelType w:val="hybridMultilevel"/>
    <w:tmpl w:val="367CA74C"/>
    <w:lvl w:ilvl="0" w:tplc="28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4B541951"/>
    <w:multiLevelType w:val="hybridMultilevel"/>
    <w:tmpl w:val="F51CE794"/>
    <w:lvl w:ilvl="0" w:tplc="BB5E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A3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6C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4A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40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C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A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0A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0A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D63EAB"/>
    <w:multiLevelType w:val="hybridMultilevel"/>
    <w:tmpl w:val="DE0619B2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02510"/>
    <w:multiLevelType w:val="hybridMultilevel"/>
    <w:tmpl w:val="04DE206C"/>
    <w:lvl w:ilvl="0" w:tplc="1E249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87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CA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8A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8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CA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89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8A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86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B330F1"/>
    <w:multiLevelType w:val="hybridMultilevel"/>
    <w:tmpl w:val="8FD45C28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215BA"/>
    <w:multiLevelType w:val="hybridMultilevel"/>
    <w:tmpl w:val="8878D85C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5243B"/>
    <w:multiLevelType w:val="hybridMultilevel"/>
    <w:tmpl w:val="FBF21236"/>
    <w:lvl w:ilvl="0" w:tplc="2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AA3628"/>
    <w:multiLevelType w:val="hybridMultilevel"/>
    <w:tmpl w:val="953EE728"/>
    <w:lvl w:ilvl="0" w:tplc="6FFEC53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2925A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4552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EF29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A2B7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4317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6B48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6056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C1DD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8961408">
    <w:abstractNumId w:val="5"/>
  </w:num>
  <w:num w:numId="2" w16cid:durableId="367993951">
    <w:abstractNumId w:val="9"/>
  </w:num>
  <w:num w:numId="3" w16cid:durableId="2042391512">
    <w:abstractNumId w:val="1"/>
  </w:num>
  <w:num w:numId="4" w16cid:durableId="1605310064">
    <w:abstractNumId w:val="8"/>
  </w:num>
  <w:num w:numId="5" w16cid:durableId="1928078380">
    <w:abstractNumId w:val="6"/>
  </w:num>
  <w:num w:numId="6" w16cid:durableId="1719739957">
    <w:abstractNumId w:val="7"/>
  </w:num>
  <w:num w:numId="7" w16cid:durableId="1412659360">
    <w:abstractNumId w:val="4"/>
  </w:num>
  <w:num w:numId="8" w16cid:durableId="1360740333">
    <w:abstractNumId w:val="2"/>
  </w:num>
  <w:num w:numId="9" w16cid:durableId="617107043">
    <w:abstractNumId w:val="3"/>
  </w:num>
  <w:num w:numId="10" w16cid:durableId="53766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CF"/>
    <w:rsid w:val="0005027D"/>
    <w:rsid w:val="000771FA"/>
    <w:rsid w:val="000D6B23"/>
    <w:rsid w:val="00106B68"/>
    <w:rsid w:val="001136FE"/>
    <w:rsid w:val="001318F9"/>
    <w:rsid w:val="00156DE5"/>
    <w:rsid w:val="001D1F0E"/>
    <w:rsid w:val="003535BE"/>
    <w:rsid w:val="00387EE2"/>
    <w:rsid w:val="00401A29"/>
    <w:rsid w:val="00457145"/>
    <w:rsid w:val="00491883"/>
    <w:rsid w:val="005161E6"/>
    <w:rsid w:val="00516E07"/>
    <w:rsid w:val="00573C6A"/>
    <w:rsid w:val="00587046"/>
    <w:rsid w:val="005D3BA9"/>
    <w:rsid w:val="005F1D18"/>
    <w:rsid w:val="00691B59"/>
    <w:rsid w:val="00704CF6"/>
    <w:rsid w:val="008A3886"/>
    <w:rsid w:val="00940CD7"/>
    <w:rsid w:val="00985CB8"/>
    <w:rsid w:val="00A12110"/>
    <w:rsid w:val="00AB1B62"/>
    <w:rsid w:val="00AD317F"/>
    <w:rsid w:val="00AE7862"/>
    <w:rsid w:val="00AF7CCF"/>
    <w:rsid w:val="00C14723"/>
    <w:rsid w:val="00C21CEF"/>
    <w:rsid w:val="00C934A3"/>
    <w:rsid w:val="00CB732B"/>
    <w:rsid w:val="00E67F47"/>
    <w:rsid w:val="00E73B18"/>
    <w:rsid w:val="00FB49CF"/>
    <w:rsid w:val="00FB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D45"/>
  <w15:chartTrackingRefBased/>
  <w15:docId w15:val="{09868D48-C377-4E41-BCF0-9821B456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59"/>
    <w:pPr>
      <w:spacing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5027D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027D"/>
    <w:rPr>
      <w:rFonts w:ascii="Times New Roman" w:eastAsiaTheme="majorEastAsia" w:hAnsi="Times New Roman" w:cstheme="majorBidi"/>
      <w:b/>
      <w:sz w:val="28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91B59"/>
    <w:pPr>
      <w:pBdr>
        <w:bottom w:val="single" w:sz="4" w:space="1" w:color="auto"/>
      </w:pBdr>
      <w:spacing w:before="360" w:after="24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1B59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Paragraphedeliste">
    <w:name w:val="List Paragraph"/>
    <w:basedOn w:val="Normal"/>
    <w:uiPriority w:val="34"/>
    <w:qFormat/>
    <w:rsid w:val="0015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14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6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5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54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63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9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Abdoulaye Ousseini</dc:creator>
  <cp:keywords/>
  <dc:description/>
  <cp:lastModifiedBy>Abdoulaye Ousseini</cp:lastModifiedBy>
  <cp:revision>32</cp:revision>
  <dcterms:created xsi:type="dcterms:W3CDTF">2023-03-19T11:58:00Z</dcterms:created>
  <dcterms:modified xsi:type="dcterms:W3CDTF">2023-03-20T13:22:00Z</dcterms:modified>
</cp:coreProperties>
</file>